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mbria" w:cs="Cambria" w:eastAsia="Cambria" w:hAnsi="Cambria"/>
          <w:smallCaps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000000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smallCaps w:val="1"/>
          <w:color w:val="000000"/>
          <w:rtl w:val="0"/>
        </w:rPr>
        <w:t xml:space="preserve">CRITÉRIOS UTILIZADOS NA AVALIAÇÃO DE MÉRITO CULTURAL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92"/>
        <w:gridCol w:w="3943"/>
        <w:gridCol w:w="2953"/>
        <w:tblGridChange w:id="0">
          <w:tblGrid>
            <w:gridCol w:w="1592"/>
            <w:gridCol w:w="3943"/>
            <w:gridCol w:w="295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Qualidade do Projeto - Coerência do objeto, objetivos, justificativa e metas do projeto: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evidente os resultados que serão obtidos.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Relevância da ação proposta para o cenário cultural do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município de Biguaçu/SC: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 análise deverá considerar, para fins de avaliação e valoração, se a ação contribui para o enriquecimento e valorização da cultura do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município de Biguaçu/SC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Aspectos de integração comunitária na ação proposta pelo projeto: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nas metas, resultados e desdobramentos do projeto proposto: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no Cronograma, Objetivos e Metas do projeto proposto: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Compatibilidade da ficha técnica com as atividades desenvolvidas: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Trajetória artística e cultural do proponente: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Será considerada,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para fins de análise, a carreira do proponente, com base no currículo e comprovações enviadas juntamente com a proposta.</w:t>
            </w:r>
          </w:p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H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Acessibilidade: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análise deverá considerar a previsão de uso de recursos de acessibilidade para os produtos, bens e serviços disponibilizados com vistas ao alcance de pessoas com deficiência motora, visual, auditiva e/ou cognitiva.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Aspectos de integração comunitária na ação proposta pelo projeto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Considera-se, para fins de avaliação e valoração, se o projeto apresenta aspectos de integração comunitária, em relação ao impacto social para a inclusão de pessoas com deficiência, idosos e demais grupos em situação de histórica vulnerabilidade econômica/social.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1717"/>
        <w:gridCol w:w="3442"/>
        <w:gridCol w:w="3336"/>
        <w:tblGridChange w:id="0">
          <w:tblGrid>
            <w:gridCol w:w="1717"/>
            <w:gridCol w:w="3442"/>
            <w:gridCol w:w="333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BÔNUS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Projeto a ser executado em áreas periféricas.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Projeto a ser executado em área rural.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right="1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pontuação final de cada candidatura será </w:t>
      </w:r>
      <w:r w:rsidDel="00000000" w:rsidR="00000000" w:rsidRPr="00000000">
        <w:rPr>
          <w:sz w:val="24"/>
          <w:szCs w:val="24"/>
          <w:rtl w:val="0"/>
        </w:rPr>
        <w:t xml:space="preserve">por média das notas atribuídas individualmente por cada membro da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agente cultural que receber pontuação 0 em algum dos critérios será desclassificado do Edital.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classificados os projetos que atingirem a nota igual ou maior que 6,00 (seis) e selecionados por ordem decrescente conforme categoria.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 de modo que a pontuação 0 em algum dos pontos bônus não desclassifica o agente cultural.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</w:t>
      </w:r>
      <w:r w:rsidDel="00000000" w:rsidR="00000000" w:rsidRPr="00000000">
        <w:rPr>
          <w:sz w:val="24"/>
          <w:szCs w:val="24"/>
          <w:rtl w:val="0"/>
        </w:rPr>
        <w:t xml:space="preserve">administrativas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-557681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-10105</wp:posOffset>
          </wp:positionV>
          <wp:extent cx="1849586" cy="615106"/>
          <wp:effectExtent b="0" l="0" r="0" t="0"/>
          <wp:wrapNone/>
          <wp:docPr id="204260168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-969006</wp:posOffset>
          </wp:positionV>
          <wp:extent cx="2590800" cy="2590800"/>
          <wp:effectExtent b="0" l="0" r="0" t="0"/>
          <wp:wrapNone/>
          <wp:docPr id="20426016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-102231</wp:posOffset>
          </wp:positionV>
          <wp:extent cx="1359658" cy="742941"/>
          <wp:effectExtent b="0" l="0" r="0" t="0"/>
          <wp:wrapNone/>
          <wp:docPr id="204260168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sx9jB1hOrsPsYp/9OQvdKg88Q==">CgMxLjA4AHIhMVB4LVJkRzZQdnZZY2lGMlpRUDhNbnpDb05DZ3Nuc2Nz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