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0"/>
        </w:tabs>
        <w:spacing w:after="120" w:before="120" w:line="240" w:lineRule="auto"/>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2">
      <w:pPr>
        <w:tabs>
          <w:tab w:val="center" w:leader="none" w:pos="0"/>
        </w:tabs>
        <w:spacing w:after="120" w:before="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ANEXO 11 - MINUTA DE TERMO DE COMPROMISSO CULTURAL - PONTO DE CULTURA </w:t>
      </w:r>
      <w:r w:rsidDel="00000000" w:rsidR="00000000" w:rsidRPr="00000000">
        <w:rPr>
          <w:rtl w:val="0"/>
        </w:rPr>
      </w:r>
    </w:p>
    <w:p w:rsidR="00000000" w:rsidDel="00000000" w:rsidP="00000000" w:rsidRDefault="00000000" w:rsidRPr="00000000" w14:paraId="00000003">
      <w:pPr>
        <w:keepNext w:val="1"/>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color w:val="ff0000"/>
          <w:sz w:val="20"/>
          <w:szCs w:val="20"/>
          <w:rtl w:val="0"/>
        </w:rPr>
        <w:t xml:space="preserve">(Rubricar todas as páginas)</w:t>
      </w:r>
      <w:r w:rsidDel="00000000" w:rsidR="00000000" w:rsidRPr="00000000">
        <w:rPr>
          <w:rtl w:val="0"/>
        </w:rPr>
      </w:r>
    </w:p>
    <w:p w:rsidR="00000000" w:rsidDel="00000000" w:rsidP="00000000" w:rsidRDefault="00000000" w:rsidRPr="00000000" w14:paraId="00000004">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120" w:before="120" w:line="240"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TERMO DE COMPROMISSO CULTURAL Nº </w:t>
      </w:r>
      <w:r w:rsidDel="00000000" w:rsidR="00000000" w:rsidRPr="00000000">
        <w:rPr>
          <w:rFonts w:ascii="Calibri" w:cs="Calibri" w:eastAsia="Calibri" w:hAnsi="Calibri"/>
          <w:b w:val="1"/>
          <w:color w:val="ff0000"/>
          <w:sz w:val="24"/>
          <w:szCs w:val="24"/>
          <w:rtl w:val="0"/>
        </w:rPr>
        <w:t xml:space="preserve">XX/2024</w:t>
      </w:r>
    </w:p>
    <w:sdt>
      <w:sdtPr>
        <w:lock w:val="contentLocked"/>
        <w:tag w:val="goog_rdk_0"/>
      </w:sdtPr>
      <w:sdtContent>
        <w:tbl>
          <w:tblPr>
            <w:tblStyle w:val="Table1"/>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40"/>
            <w:tblGridChange w:id="0">
              <w:tblGrid>
                <w:gridCol w:w="954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06">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FINALIDADE</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0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município de Biguaçu,</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representado pela Secretaria Municipal de Cultura, Esporte, Turismo e Lazer,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sdtContent>
    </w:sdt>
    <w:p w:rsidR="00000000" w:rsidDel="00000000" w:rsidP="00000000" w:rsidRDefault="00000000" w:rsidRPr="00000000" w14:paraId="00000008">
      <w:pPr>
        <w:spacing w:after="120" w:before="120" w:line="240" w:lineRule="auto"/>
        <w:jc w:val="both"/>
        <w:rPr>
          <w:rFonts w:ascii="Calibri" w:cs="Calibri" w:eastAsia="Calibri" w:hAnsi="Calibri"/>
          <w:sz w:val="24"/>
          <w:szCs w:val="24"/>
        </w:rPr>
      </w:pPr>
      <w:r w:rsidDel="00000000" w:rsidR="00000000" w:rsidRPr="00000000">
        <w:rPr>
          <w:rtl w:val="0"/>
        </w:rPr>
      </w:r>
    </w:p>
    <w:sdt>
      <w:sdtPr>
        <w:lock w:val="contentLocked"/>
        <w:tag w:val="goog_rdk_1"/>
      </w:sdtPr>
      <w:sdtContent>
        <w:tbl>
          <w:tblPr>
            <w:tblStyle w:val="Table2"/>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1845"/>
            <w:gridCol w:w="1500"/>
            <w:gridCol w:w="3060"/>
            <w:tblGridChange w:id="0">
              <w:tblGrid>
                <w:gridCol w:w="3135"/>
                <w:gridCol w:w="1845"/>
                <w:gridCol w:w="1500"/>
                <w:gridCol w:w="3060"/>
              </w:tblGrid>
            </w:tblGridChange>
          </w:tblGrid>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tcPr>
              <w:p w:rsidR="00000000" w:rsidDel="00000000" w:rsidP="00000000" w:rsidRDefault="00000000" w:rsidRPr="00000000" w14:paraId="00000009">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IDENTIFICAÇÃO DAS PARTES</w:t>
                </w:r>
              </w:p>
            </w:tc>
          </w:tr>
          <w:tr>
            <w:trPr>
              <w:cantSplit w:val="0"/>
              <w:trHeight w:val="525" w:hRule="atLeast"/>
              <w:tblHeader w:val="0"/>
            </w:trPr>
            <w:tc>
              <w:tcPr>
                <w:gridSpan w:val="4"/>
                <w:tcBorders>
                  <w:top w:color="000000" w:space="0" w:sz="4"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0D">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 ENTE PÚBLICO</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spacing w:after="120" w:before="120" w:line="240" w:lineRule="auto"/>
                  <w:jc w:val="both"/>
                  <w:rPr>
                    <w:rFonts w:ascii="Calibri" w:cs="Calibri" w:eastAsia="Calibri" w:hAnsi="Calibri"/>
                    <w:sz w:val="24"/>
                    <w:szCs w:val="24"/>
                  </w:rPr>
                </w:pP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Ato de nomeação</w:t>
                </w:r>
              </w:p>
            </w:tc>
            <w:tc>
              <w:tcPr>
                <w:gridSpan w:val="3"/>
                <w:tcBorders>
                  <w:top w:color="000000" w:space="0" w:sz="0" w:val="nil"/>
                  <w:left w:color="000000" w:space="0" w:sz="0" w:val="nil"/>
                  <w:bottom w:color="000000" w:space="0" w:sz="4"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tcPr>
              <w:p w:rsidR="00000000" w:rsidDel="00000000" w:rsidP="00000000" w:rsidRDefault="00000000" w:rsidRPr="00000000" w14:paraId="0000002E">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 ENTIDADE CULTURAL</w:t>
                </w:r>
              </w:p>
            </w:tc>
          </w:tr>
          <w:tr>
            <w:trPr>
              <w:cantSplit w:val="0"/>
              <w:trHeight w:val="540" w:hRule="atLeast"/>
              <w:tblHeader w:val="0"/>
            </w:trPr>
            <w:tc>
              <w:tcPr>
                <w:tcBorders>
                  <w:top w:color="000000" w:space="0" w:sz="4"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w:t>
                </w:r>
              </w:p>
            </w:tc>
            <w:tc>
              <w:tcPr>
                <w:gridSpan w:val="3"/>
                <w:tcBorders>
                  <w:top w:color="000000" w:space="0" w:sz="4" w:val="single"/>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spacing w:after="120" w:before="120" w:line="240" w:lineRule="auto"/>
                  <w:jc w:val="both"/>
                  <w:rPr>
                    <w:rFonts w:ascii="Calibri" w:cs="Calibri" w:eastAsia="Calibri" w:hAnsi="Calibri"/>
                    <w:sz w:val="24"/>
                    <w:szCs w:val="24"/>
                  </w:rPr>
                </w:pPr>
                <w:r w:rsidDel="00000000" w:rsidR="00000000" w:rsidRPr="00000000">
                  <w:rPr>
                    <w:rtl w:val="0"/>
                  </w:rPr>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sdtContent>
    </w:sdt>
    <w:p w:rsidR="00000000" w:rsidDel="00000000" w:rsidP="00000000" w:rsidRDefault="00000000" w:rsidRPr="00000000" w14:paraId="0000004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sdt>
      <w:sdtPr>
        <w:lock w:val="contentLocked"/>
        <w:tag w:val="goog_rdk_2"/>
      </w:sdtPr>
      <w:sdtContent>
        <w:tbl>
          <w:tblPr>
            <w:tblStyle w:val="Table3"/>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70"/>
            <w:tblGridChange w:id="0">
              <w:tblGrid>
                <w:gridCol w:w="957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0">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OBJETO</w:t>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w:t>
                </w:r>
                <w:r w:rsidDel="00000000" w:rsidR="00000000" w:rsidRPr="00000000">
                  <w:rPr>
                    <w:rFonts w:ascii="Calibri" w:cs="Calibri" w:eastAsia="Calibri" w:hAnsi="Calibri"/>
                    <w:sz w:val="24"/>
                    <w:szCs w:val="24"/>
                    <w:rtl w:val="0"/>
                  </w:rPr>
                  <w:t xml:space="preserve"> O presente Termo de Compromisso Cultural-TCC tem como objeto a execução de projeto selecionado no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Edital 07/2024/PMB/SECETUL, </w:t>
                </w:r>
                <w:r w:rsidDel="00000000" w:rsidR="00000000" w:rsidRPr="00000000">
                  <w:rPr>
                    <w:rFonts w:ascii="Calibri" w:cs="Calibri" w:eastAsia="Calibri" w:hAnsi="Calibri"/>
                    <w:sz w:val="24"/>
                    <w:szCs w:val="24"/>
                    <w:highlight w:val="white"/>
                    <w:rtl w:val="0"/>
                  </w:rPr>
                  <w:t xml:space="preserve">que visa a promoção do acesso da população aos bens e aos serviços culturais nos territórios e comunidades onde atuam, nos termos da Política Nacional de Cultura Viva - PNCV, conforme Plano de Trabalho anexo.</w:t>
                </w:r>
                <w:r w:rsidDel="00000000" w:rsidR="00000000" w:rsidRPr="00000000">
                  <w:rPr>
                    <w:rtl w:val="0"/>
                  </w:rPr>
                </w:r>
              </w:p>
            </w:tc>
          </w:tr>
        </w:tbl>
      </w:sdtContent>
    </w:sdt>
    <w:p w:rsidR="00000000" w:rsidDel="00000000" w:rsidP="00000000" w:rsidRDefault="00000000" w:rsidRPr="00000000" w14:paraId="00000052">
      <w:pPr>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                                                  </w:t>
        <w:tab/>
        <w:t xml:space="preserve">                                                 </w:t>
        <w:tab/>
      </w:r>
      <w:r w:rsidDel="00000000" w:rsidR="00000000" w:rsidRPr="00000000">
        <w:rPr>
          <w:rtl w:val="0"/>
        </w:rPr>
      </w:r>
    </w:p>
    <w:sdt>
      <w:sdtPr>
        <w:lock w:val="contentLocked"/>
        <w:tag w:val="goog_rdk_3"/>
      </w:sdtPr>
      <w:sdtContent>
        <w:tbl>
          <w:tblPr>
            <w:tblStyle w:val="Table4"/>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25"/>
            <w:tblGridChange w:id="0">
              <w:tblGrid>
                <w:gridCol w:w="952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3">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OBRIGAÇÕES DAS PARTES</w:t>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4">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Do [NOME DO ESTADO/MUNICÍPIO]</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5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Incumbe ao município de Biguaçu observar as obrigações descritas na Instrução legislação de regência, e as seguintes responsabilidades:</w:t>
                </w:r>
              </w:p>
              <w:p w:rsidR="00000000" w:rsidDel="00000000" w:rsidP="00000000" w:rsidRDefault="00000000" w:rsidRPr="00000000" w14:paraId="0000005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coordenar a gestão da PNCV, no âmbito de sua esfera de atuação;</w:t>
                </w:r>
              </w:p>
              <w:p w:rsidR="00000000" w:rsidDel="00000000" w:rsidP="00000000" w:rsidRDefault="00000000" w:rsidRPr="00000000" w14:paraId="0000005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atuar em parceria federativa junto ao governo federal, governos estaduais, do Distrito Federal e municipais, e outras instituições, para efetivação dos objetivos da PNCV previstos em lei;</w:t>
                </w:r>
              </w:p>
              <w:p w:rsidR="00000000" w:rsidDel="00000000" w:rsidP="00000000" w:rsidRDefault="00000000" w:rsidRPr="00000000" w14:paraId="0000005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realizar planejamento de desenvolvimento da PNCV, observando o Plano Nacional de Cultura e planos de cultura locais;</w:t>
                </w:r>
              </w:p>
              <w:p w:rsidR="00000000" w:rsidDel="00000000" w:rsidP="00000000" w:rsidRDefault="00000000" w:rsidRPr="00000000" w14:paraId="0000005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garantir recursos humanos, orçamentários, financeiros, logísticos e tecnológicos para implementação da PNCV e efetividade de seus resultados;</w:t>
                </w:r>
              </w:p>
              <w:p w:rsidR="00000000" w:rsidDel="00000000" w:rsidP="00000000" w:rsidRDefault="00000000" w:rsidRPr="00000000" w14:paraId="0000005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desenvolver uma gestão pública compartilhada e participativa, por meio da organização e institucionalização das instâncias, fóruns e espaços de diálogos institucionais entre os partícipes da PNCV, em sua área de abrangência territorial;</w:t>
                </w:r>
              </w:p>
              <w:p w:rsidR="00000000" w:rsidDel="00000000" w:rsidP="00000000" w:rsidRDefault="00000000" w:rsidRPr="00000000" w14:paraId="0000005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desenvolver as ações estruturantes da PNCV por meio de políticas públicas integradas visando a promoção em uma cultura de direitos humanos e de valorização da cidadania e da diversidade artística e cultural;</w:t>
                </w:r>
              </w:p>
              <w:p w:rsidR="00000000" w:rsidDel="00000000" w:rsidP="00000000" w:rsidRDefault="00000000" w:rsidRPr="00000000" w14:paraId="0000005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disponibilizar e manter em funcionamento o Cadastro Nacional dos Pontos e Pontões de Cultura, no âmbito de sua esfera de atuação;</w:t>
                </w:r>
              </w:p>
              <w:p w:rsidR="00000000" w:rsidDel="00000000" w:rsidP="00000000" w:rsidRDefault="00000000" w:rsidRPr="00000000" w14:paraId="0000005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fomentar ações para qualificação e formação de gestores, dirigentes de entidades culturais e outros agentes envolvidos no âmbito da PNCV;</w:t>
                </w:r>
              </w:p>
              <w:p w:rsidR="00000000" w:rsidDel="00000000" w:rsidP="00000000" w:rsidRDefault="00000000" w:rsidRPr="00000000" w14:paraId="0000005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dar ciência da celebração de parcerias federativas, no que couber, aos conselhos de cultura, assembleias legislativas e câmaras municipais de vereadores para efeitos de acompanhamento e fiscalização;</w:t>
                </w:r>
              </w:p>
              <w:p w:rsidR="00000000" w:rsidDel="00000000" w:rsidP="00000000" w:rsidRDefault="00000000" w:rsidRPr="00000000" w14:paraId="0000005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 promover ações de publicidade da PNCV que proporcionem controle social, transparência pública e visibilidade das ações junto à sociedade;</w:t>
                </w:r>
              </w:p>
              <w:p w:rsidR="00000000" w:rsidDel="00000000" w:rsidP="00000000" w:rsidRDefault="00000000" w:rsidRPr="00000000" w14:paraId="0000006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 contribuir para o fortalecimento da atuação em redes territoriais, identitárias e temáticas no âmbito da PNCV;</w:t>
                </w:r>
              </w:p>
              <w:p w:rsidR="00000000" w:rsidDel="00000000" w:rsidP="00000000" w:rsidRDefault="00000000" w:rsidRPr="00000000" w14:paraId="0000006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 realizar os atos e os procedimentos relativos à formalização, execução, acompanhamento e análise da prestação de contas do presente TCC;</w:t>
                </w:r>
              </w:p>
              <w:p w:rsidR="00000000" w:rsidDel="00000000" w:rsidP="00000000" w:rsidRDefault="00000000" w:rsidRPr="00000000" w14:paraId="0000006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XIII - realizar os procedimentos relativos à Tomada de Contas Especial, quando for o caso;</w:t>
                </w:r>
              </w:p>
              <w:p w:rsidR="00000000" w:rsidDel="00000000" w:rsidP="00000000" w:rsidRDefault="00000000" w:rsidRPr="00000000" w14:paraId="0000006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XIV - cumprir com os procedimentos de transparência e publicidade atribuídos ao poder público conforme o disposto na Seção III da IN MinC nº 08 de 11 de maio de 2016;</w:t>
                </w:r>
              </w:p>
              <w:p w:rsidR="00000000" w:rsidDel="00000000" w:rsidP="00000000" w:rsidRDefault="00000000" w:rsidRPr="00000000" w14:paraId="0000006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 - repassar os recursos financeiros ao PONTO DE CULTURA, de acordo com a programação orçamentária e financeira do ente público, obedecendo ao cronograma financeiro constante deste instrumento e do plano de trabalho;</w:t>
                </w:r>
              </w:p>
              <w:p w:rsidR="00000000" w:rsidDel="00000000" w:rsidP="00000000" w:rsidRDefault="00000000" w:rsidRPr="00000000" w14:paraId="0000006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 - prorrogar “de ofício” o prazo de vigência do TCC antes do seu término, quando der causa ao atraso na liberação dos recursos, limitada à prorrogação ao exato período do atraso verificado;</w:t>
                </w:r>
              </w:p>
              <w:p w:rsidR="00000000" w:rsidDel="00000000" w:rsidP="00000000" w:rsidRDefault="00000000" w:rsidRPr="00000000" w14:paraId="0000006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XVII - aplicar as penalidades previstas e proceder às ações administrativas necessárias à exigência da restituição dos recursos transferidos;</w:t>
                </w:r>
              </w:p>
              <w:p w:rsidR="00000000" w:rsidDel="00000000" w:rsidP="00000000" w:rsidRDefault="00000000" w:rsidRPr="00000000" w14:paraId="0000006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000000" w:rsidDel="00000000" w:rsidP="00000000" w:rsidRDefault="00000000" w:rsidRPr="00000000" w14:paraId="0000006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XIX - analisar a prestação de contas dos recursos aplicados na consecução do objeto deste TCC, na forma e prazo fixados no Decreto nº 11.453/2023 e no art. 47 da IN MinC nº 08/2016;</w:t>
                </w:r>
              </w:p>
              <w:p w:rsidR="00000000" w:rsidDel="00000000" w:rsidP="00000000" w:rsidRDefault="00000000" w:rsidRPr="00000000" w14:paraId="0000006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rsidR="00000000" w:rsidDel="00000000" w:rsidP="00000000" w:rsidRDefault="00000000" w:rsidRPr="00000000" w14:paraId="0000006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XXI - exercer, se conveniente e oportuno, a prerrogativa de assumir ou de transferir a responsabilidade pela execução do objeto, no caso de paralisação ou da ocorrência de fato relevante, de modo a evitar sua descontinuidade.</w:t>
                </w:r>
              </w:p>
              <w:p w:rsidR="00000000" w:rsidDel="00000000" w:rsidP="00000000" w:rsidRDefault="00000000" w:rsidRPr="00000000" w14:paraId="0000006B">
                <w:pPr>
                  <w:spacing w:after="120" w:before="120" w:line="240" w:lineRule="auto"/>
                  <w:jc w:val="both"/>
                  <w:rPr>
                    <w:rFonts w:ascii="Calibri" w:cs="Calibri" w:eastAsia="Calibri" w:hAnsi="Calibri"/>
                    <w:sz w:val="24"/>
                    <w:szCs w:val="24"/>
                  </w:rPr>
                </w:pP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6C">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Da Entidade Cultural</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6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Incumbe à Entidade Cultural observar as obrigações descritas na legislação de regência e, ainda, as seguintes responsabilidades:</w:t>
                </w:r>
              </w:p>
              <w:p w:rsidR="00000000" w:rsidDel="00000000" w:rsidP="00000000" w:rsidRDefault="00000000" w:rsidRPr="00000000" w14:paraId="0000006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executar o projeto conforme Plano de Trabalho aprovado e produzir provas documentais sobre o andamento da execução do projeto, inclusive das alterações no Plano de Trabalho;</w:t>
                </w:r>
              </w:p>
              <w:p w:rsidR="00000000" w:rsidDel="00000000" w:rsidP="00000000" w:rsidRDefault="00000000" w:rsidRPr="00000000" w14:paraId="0000006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cumprir com os procedimentos de transparência e publicidade atribuídos à entidade cultural conforme o disposto no Capítulo IV,  Seção III da IN MinC nº 08 de 11 de maio de 2016;</w:t>
                </w:r>
              </w:p>
              <w:p w:rsidR="00000000" w:rsidDel="00000000" w:rsidP="00000000" w:rsidRDefault="00000000" w:rsidRPr="00000000" w14:paraId="0000007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rsidR="00000000" w:rsidDel="00000000" w:rsidP="00000000" w:rsidRDefault="00000000" w:rsidRPr="00000000" w14:paraId="0000007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desenvolver uma gestão compartilhada e participativa, por meio de instâncias, fóruns e espaços de diálogos junto aos beneficiários em sua área de abrangência;</w:t>
                </w:r>
              </w:p>
              <w:p w:rsidR="00000000" w:rsidDel="00000000" w:rsidP="00000000" w:rsidRDefault="00000000" w:rsidRPr="00000000" w14:paraId="0000007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envidar esforços visando atuar nos processos participativos instituídos pelo Sistema Nacional de Cultura-SNC (especialmente as Conferências de Cultura) e pela PNCV (especialmente as TEIAs) em âmbito local, regional e nacional;</w:t>
                </w:r>
              </w:p>
              <w:p w:rsidR="00000000" w:rsidDel="00000000" w:rsidP="00000000" w:rsidRDefault="00000000" w:rsidRPr="00000000" w14:paraId="0000007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estimular a participação ativa dos beneficiários da PNCV nos processos participativos instituídos no SNC e na PNCV em âmbito local, regional e nacional;</w:t>
                </w:r>
              </w:p>
              <w:p w:rsidR="00000000" w:rsidDel="00000000" w:rsidP="00000000" w:rsidRDefault="00000000" w:rsidRPr="00000000" w14:paraId="0000007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contribuir com a organização e funcionamento da Rede Cultura Viva e de suas instâncias, mecanismos e processos de gestão compartilhada, participação e controle social;</w:t>
                </w:r>
              </w:p>
              <w:p w:rsidR="00000000" w:rsidDel="00000000" w:rsidP="00000000" w:rsidRDefault="00000000" w:rsidRPr="00000000" w14:paraId="0000007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manter seus dados cadastrais atualizados no Cadastro Nacional de Pontos e Pontões de Cultura, atendendo à chamada anual de atualização de dados;</w:t>
                </w:r>
              </w:p>
              <w:p w:rsidR="00000000" w:rsidDel="00000000" w:rsidP="00000000" w:rsidRDefault="00000000" w:rsidRPr="00000000" w14:paraId="0000007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rsidR="00000000" w:rsidDel="00000000" w:rsidP="00000000" w:rsidRDefault="00000000" w:rsidRPr="00000000" w14:paraId="0000007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rsidR="00000000" w:rsidDel="00000000" w:rsidP="00000000" w:rsidRDefault="00000000" w:rsidRPr="00000000" w14:paraId="0000007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 a responsabilidade exclusiva pelo gerenciamento administrativo e financeiro dos recursos recebidos; </w:t>
                </w:r>
              </w:p>
              <w:p w:rsidR="00000000" w:rsidDel="00000000" w:rsidP="00000000" w:rsidRDefault="00000000" w:rsidRPr="00000000" w14:paraId="0000007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000000" w:rsidDel="00000000" w:rsidP="00000000" w:rsidRDefault="00000000" w:rsidRPr="00000000" w14:paraId="0000007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XIII - prestar contas dos recursos recebidos, conforme acordado neste Termo e  na forma dos atos normativos que se relacionam com o tema;</w:t>
                </w:r>
              </w:p>
              <w:p w:rsidR="00000000" w:rsidDel="00000000" w:rsidP="00000000" w:rsidRDefault="00000000" w:rsidRPr="00000000" w14:paraId="0000007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000000" w:rsidDel="00000000" w:rsidP="00000000" w:rsidRDefault="00000000" w:rsidRPr="00000000" w14:paraId="0000007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sdtContent>
    </w:sdt>
    <w:p w:rsidR="00000000" w:rsidDel="00000000" w:rsidP="00000000" w:rsidRDefault="00000000" w:rsidRPr="00000000" w14:paraId="0000007D">
      <w:pPr>
        <w:spacing w:after="160" w:line="259" w:lineRule="auto"/>
        <w:ind w:hanging="2"/>
        <w:rPr>
          <w:rFonts w:ascii="Calibri" w:cs="Calibri" w:eastAsia="Calibri" w:hAnsi="Calibri"/>
        </w:rPr>
      </w:pPr>
      <w:r w:rsidDel="00000000" w:rsidR="00000000" w:rsidRPr="00000000">
        <w:rPr>
          <w:rtl w:val="0"/>
        </w:rPr>
      </w:r>
    </w:p>
    <w:sdt>
      <w:sdtPr>
        <w:lock w:val="contentLocked"/>
        <w:tag w:val="goog_rdk_4"/>
      </w:sdtPr>
      <w:sdtContent>
        <w:tbl>
          <w:tblPr>
            <w:tblStyle w:val="Table5"/>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85"/>
            <w:tblGridChange w:id="0">
              <w:tblGrid>
                <w:gridCol w:w="958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7E">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DOS VALORES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7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execução das atividades previstas no Plano de Trabalho deste TCC, serão disponibilizados pelo Ente Público recursos no valor total de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R$34.007,56, em parcela única, de acordo com o Cronograma de Desembolso constante do Plano de Trabalho, correspondente à Nota de Empenho </w:t>
                </w:r>
                <w:r w:rsidDel="00000000" w:rsidR="00000000" w:rsidRPr="00000000">
                  <w:rPr>
                    <w:rFonts w:ascii="Calibri" w:cs="Calibri" w:eastAsia="Calibri" w:hAnsi="Calibri"/>
                    <w:color w:val="ff0000"/>
                    <w:sz w:val="24"/>
                    <w:szCs w:val="24"/>
                    <w:rtl w:val="0"/>
                  </w:rPr>
                  <w:t xml:space="preserve">XXXXX.</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80">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5.1 Da movimentação dos recursos financeiros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8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referentes ao presente Termo de Compromisso Cultural, a serem desembolsados pelo Ente Público, serão depositados e geridos em conta específica de instituição financeira indicada pela entidade cultural, na </w:t>
                </w:r>
                <w:r w:rsidDel="00000000" w:rsidR="00000000" w:rsidRPr="00000000">
                  <w:rPr>
                    <w:rFonts w:ascii="Calibri" w:cs="Calibri" w:eastAsia="Calibri" w:hAnsi="Calibri"/>
                    <w:color w:val="ff0000"/>
                    <w:sz w:val="24"/>
                    <w:szCs w:val="24"/>
                    <w:rtl w:val="0"/>
                  </w:rPr>
                  <w:t xml:space="preserve">Agência XXXX – Banco XXXX, na cidade XXXX, UF XX,</w:t>
                </w:r>
                <w:r w:rsidDel="00000000" w:rsidR="00000000" w:rsidRPr="00000000">
                  <w:rPr>
                    <w:rFonts w:ascii="Calibri" w:cs="Calibri" w:eastAsia="Calibri" w:hAnsi="Calibri"/>
                    <w:sz w:val="24"/>
                    <w:szCs w:val="24"/>
                    <w:rtl w:val="0"/>
                  </w:rPr>
                  <w:t xml:space="preserve"> em conformidade com os prazos estabelecidos no Cronograma Financeiro constante do Plano de Trabalho.</w:t>
                </w:r>
              </w:p>
              <w:p w:rsidR="00000000" w:rsidDel="00000000" w:rsidP="00000000" w:rsidRDefault="00000000" w:rsidRPr="00000000" w14:paraId="0000008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5.1.1 Os recursos depositados nesta conta bancária específica, enquanto não empregados na sua finalidade, serão obrigatoriamente aplicados:</w:t>
                </w:r>
              </w:p>
              <w:p w:rsidR="00000000" w:rsidDel="00000000" w:rsidP="00000000" w:rsidRDefault="00000000" w:rsidRPr="00000000" w14:paraId="0000008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em caderneta de poupança, ou</w:t>
                </w:r>
              </w:p>
              <w:p w:rsidR="00000000" w:rsidDel="00000000" w:rsidP="00000000" w:rsidRDefault="00000000" w:rsidRPr="00000000" w14:paraId="0000008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em fundo de aplicação financeira de curto prazo ou operação de mercado aberto lastreada em título da dívida pública.</w:t>
                </w:r>
              </w:p>
              <w:p w:rsidR="00000000" w:rsidDel="00000000" w:rsidP="00000000" w:rsidRDefault="00000000" w:rsidRPr="00000000" w14:paraId="0000008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5.1.2 Os recursos deste Termo de Compromisso Cultural serão utilizados exclusivamente para o pagamento das despesas previstas no objeto do TCC, vedada a sua aplicação em finalidade diversa, ainda que decorrentes de necessidade emergencial do PONTO DE CULTURA.</w:t>
                </w:r>
              </w:p>
              <w:p w:rsidR="00000000" w:rsidDel="00000000" w:rsidP="00000000" w:rsidRDefault="00000000" w:rsidRPr="00000000" w14:paraId="0000008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000000" w:rsidDel="00000000" w:rsidP="00000000" w:rsidRDefault="00000000" w:rsidRPr="00000000" w14:paraId="0000008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5.1.4 O uso de rendimentos para as finalidades descritas no item 5.1.3 poderá ser realizado sem autorização prévia da administração pública, desde que seja descrito no Relatório de Execução do Objeto, com motivação.</w:t>
                </w:r>
              </w:p>
              <w:p w:rsidR="00000000" w:rsidDel="00000000" w:rsidP="00000000" w:rsidRDefault="00000000" w:rsidRPr="00000000" w14:paraId="0000008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5.1.5 O remanejamento de recurso no plano de trabalho poderá ocorrer desde que:</w:t>
                </w:r>
              </w:p>
              <w:p w:rsidR="00000000" w:rsidDel="00000000" w:rsidP="00000000" w:rsidRDefault="00000000" w:rsidRPr="00000000" w14:paraId="0000008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seja realizado durante a vigência do TCC;</w:t>
                </w:r>
              </w:p>
              <w:p w:rsidR="00000000" w:rsidDel="00000000" w:rsidP="00000000" w:rsidRDefault="00000000" w:rsidRPr="00000000" w14:paraId="0000008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tenha como finalidade o cumprimento do objeto pactuado;</w:t>
                </w:r>
              </w:p>
              <w:p w:rsidR="00000000" w:rsidDel="00000000" w:rsidP="00000000" w:rsidRDefault="00000000" w:rsidRPr="00000000" w14:paraId="0000008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não altere o valor global do orçamento aprovado no TCC.</w:t>
                </w:r>
              </w:p>
              <w:p w:rsidR="00000000" w:rsidDel="00000000" w:rsidP="00000000" w:rsidRDefault="00000000" w:rsidRPr="00000000" w14:paraId="0000008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sdtContent>
    </w:sdt>
    <w:p w:rsidR="00000000" w:rsidDel="00000000" w:rsidP="00000000" w:rsidRDefault="00000000" w:rsidRPr="00000000" w14:paraId="0000008D">
      <w:pPr>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after="160" w:line="259" w:lineRule="auto"/>
        <w:ind w:hanging="2"/>
        <w:rPr>
          <w:rFonts w:ascii="Calibri" w:cs="Calibri" w:eastAsia="Calibri" w:hAnsi="Calibri"/>
        </w:rPr>
      </w:pPr>
      <w:r w:rsidDel="00000000" w:rsidR="00000000" w:rsidRPr="00000000">
        <w:rPr>
          <w:rtl w:val="0"/>
        </w:rPr>
      </w:r>
    </w:p>
    <w:sdt>
      <w:sdtPr>
        <w:lock w:val="contentLocked"/>
        <w:tag w:val="goog_rdk_5"/>
      </w:sdtPr>
      <w:sdtContent>
        <w:tbl>
          <w:tblPr>
            <w:tblStyle w:val="Table6"/>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85"/>
            <w:tblGridChange w:id="0">
              <w:tblGrid>
                <w:gridCol w:w="958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8F">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DO ACOMPANHAMENTO E AVALIAÇÃO</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9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O município de Biguaçu realizará o acompanhamento e a avaliação da execução</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deste TCC, periodicamente, durante a vigência da parceria, com vistas a promover o levantamento de dados para subsidiar a avaliação da prestação de contas podendo, para tanto:</w:t>
                </w:r>
              </w:p>
              <w:p w:rsidR="00000000" w:rsidDel="00000000" w:rsidP="00000000" w:rsidRDefault="00000000" w:rsidRPr="00000000" w14:paraId="0000009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exigir informações técnicas (incluindo relatório fotográfico), prestações de contas parciais e/ou final a qualquer momento;</w:t>
                </w:r>
              </w:p>
              <w:p w:rsidR="00000000" w:rsidDel="00000000" w:rsidP="00000000" w:rsidRDefault="00000000" w:rsidRPr="00000000" w14:paraId="0000009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exigir o registro, nos sistemas institucionais indicados pelo Ministério da Cultura, das atividades provenientes da execução do TCC;</w:t>
                </w:r>
              </w:p>
              <w:p w:rsidR="00000000" w:rsidDel="00000000" w:rsidP="00000000" w:rsidRDefault="00000000" w:rsidRPr="00000000" w14:paraId="0000009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usar os diversos canais eletrônicos de comunicação e divulgação absorvendo informações sobre a execução do TCC e adotando providências necessárias, quando for o caso;</w:t>
                </w:r>
              </w:p>
              <w:p w:rsidR="00000000" w:rsidDel="00000000" w:rsidP="00000000" w:rsidRDefault="00000000" w:rsidRPr="00000000" w14:paraId="0000009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fazer vistoria in loco (vistoria no local);</w:t>
                </w:r>
              </w:p>
              <w:p w:rsidR="00000000" w:rsidDel="00000000" w:rsidP="00000000" w:rsidRDefault="00000000" w:rsidRPr="00000000" w14:paraId="0000009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utilizar apoio técnico de terceiros, delegar competência ou firmar parcerias com órgãos ou entidades.</w:t>
                </w:r>
              </w:p>
              <w:p w:rsidR="00000000" w:rsidDel="00000000" w:rsidP="00000000" w:rsidRDefault="00000000" w:rsidRPr="00000000" w14:paraId="0000009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município de Biguaçu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000000" w:rsidDel="00000000" w:rsidP="00000000" w:rsidRDefault="00000000" w:rsidRPr="00000000" w14:paraId="0000009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Os TCCs estarão também sujeitos aos mecanismos de controle social previstos na legislação e ao acompanhamento por comissões e conselhos de políticas públicas da área cultural.</w:t>
                </w:r>
              </w:p>
            </w:tc>
          </w:tr>
        </w:tbl>
      </w:sdtContent>
    </w:sdt>
    <w:p w:rsidR="00000000" w:rsidDel="00000000" w:rsidP="00000000" w:rsidRDefault="00000000" w:rsidRPr="00000000" w14:paraId="00000098">
      <w:pPr>
        <w:spacing w:after="160" w:line="259" w:lineRule="auto"/>
        <w:ind w:hanging="2"/>
        <w:rPr>
          <w:rFonts w:ascii="Calibri" w:cs="Calibri" w:eastAsia="Calibri" w:hAnsi="Calibri"/>
        </w:rPr>
      </w:pPr>
      <w:r w:rsidDel="00000000" w:rsidR="00000000" w:rsidRPr="00000000">
        <w:rPr>
          <w:rtl w:val="0"/>
        </w:rPr>
      </w:r>
    </w:p>
    <w:sdt>
      <w:sdtPr>
        <w:lock w:val="contentLocked"/>
        <w:tag w:val="goog_rdk_6"/>
      </w:sdtPr>
      <w:sdtContent>
        <w:tbl>
          <w:tblPr>
            <w:tblStyle w:val="Table7"/>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70"/>
            <w:tblGridChange w:id="0">
              <w:tblGrid>
                <w:gridCol w:w="9570"/>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99">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DA PRESTAÇÃO DE CONTAS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9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A prestação de contas será apresentada por meio do </w:t>
                </w:r>
                <w:r w:rsidDel="00000000" w:rsidR="00000000" w:rsidRPr="00000000">
                  <w:rPr>
                    <w:rFonts w:ascii="Calibri" w:cs="Calibri" w:eastAsia="Calibri" w:hAnsi="Calibri"/>
                    <w:sz w:val="24"/>
                    <w:szCs w:val="24"/>
                    <w:u w:val="single"/>
                    <w:rtl w:val="0"/>
                  </w:rPr>
                  <w:t xml:space="preserve">Relatório de Execução do Objeto</w:t>
                </w:r>
                <w:r w:rsidDel="00000000" w:rsidR="00000000" w:rsidRPr="00000000">
                  <w:rPr>
                    <w:rFonts w:ascii="Calibri" w:cs="Calibri" w:eastAsia="Calibri" w:hAnsi="Calibri"/>
                    <w:sz w:val="24"/>
                    <w:szCs w:val="24"/>
                    <w:rtl w:val="0"/>
                  </w:rPr>
                  <w:t xml:space="preserve">,, no prazo de noventa dias após o fim da vigência do TCC, contendo:</w:t>
                </w:r>
              </w:p>
              <w:p w:rsidR="00000000" w:rsidDel="00000000" w:rsidP="00000000" w:rsidRDefault="00000000" w:rsidRPr="00000000" w14:paraId="0000009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000000" w:rsidDel="00000000" w:rsidP="00000000" w:rsidRDefault="00000000" w:rsidRPr="00000000" w14:paraId="0000009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000000" w:rsidDel="00000000" w:rsidP="00000000" w:rsidRDefault="00000000" w:rsidRPr="00000000" w14:paraId="0000009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material que comprove a execução de cada item de despesa e a consecução de cada uma das metas (fotos, listas de presença, vídeos, entre outros) descrito no Plano de Trabalho.</w:t>
                </w:r>
              </w:p>
              <w:p w:rsidR="00000000" w:rsidDel="00000000" w:rsidP="00000000" w:rsidRDefault="00000000" w:rsidRPr="00000000" w14:paraId="0000009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Os documentos originais de comprovação do cumprimento do objeto deverão ser guardados pelo PONTO DE CULTURA pelo prazo de cinco anos após a entrega da prestação de contas.</w:t>
                </w:r>
              </w:p>
              <w:p w:rsidR="00000000" w:rsidDel="00000000" w:rsidP="00000000" w:rsidRDefault="00000000" w:rsidRPr="00000000" w14:paraId="0000009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prazo de apresentação do Relatório de Execução do Objeto poderá ser prorrogado por até trinta dias, mediante solicitação fundamentada do PONTO DE CULTURA.</w:t>
                </w:r>
              </w:p>
              <w:p w:rsidR="00000000" w:rsidDel="00000000" w:rsidP="00000000" w:rsidRDefault="00000000" w:rsidRPr="00000000" w14:paraId="000000A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Caso o Ente Público verifique que houve inadequação na execução do objeto, o PONTO DE CULTURA será notificado para apresentar Relatório de Execução Financeiro, no prazo de trinta dias, contendo:</w:t>
                </w:r>
              </w:p>
              <w:p w:rsidR="00000000" w:rsidDel="00000000" w:rsidP="00000000" w:rsidRDefault="00000000" w:rsidRPr="00000000" w14:paraId="000000A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relação de pagamentos, com indicação dos beneficiários desses pagamentos e identificação do item de despesa e meta relacionados a cada pagamento;</w:t>
                </w:r>
              </w:p>
              <w:p w:rsidR="00000000" w:rsidDel="00000000" w:rsidP="00000000" w:rsidRDefault="00000000" w:rsidRPr="00000000" w14:paraId="000000A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extrato bancário da conta do TCC, incluindo toda a movimentação desde a abertura até a última movimentação, e conciliação bancária; e</w:t>
                </w:r>
              </w:p>
              <w:p w:rsidR="00000000" w:rsidDel="00000000" w:rsidP="00000000" w:rsidRDefault="00000000" w:rsidRPr="00000000" w14:paraId="000000A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comprovante de recolhimento do saldo remanescente de recursos, quando houver.</w:t>
                </w:r>
              </w:p>
              <w:p w:rsidR="00000000" w:rsidDel="00000000" w:rsidP="00000000" w:rsidRDefault="00000000" w:rsidRPr="00000000" w14:paraId="000000A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O Ente Público considerará que houve inadequação na execução do objeto quando configurada uma das seguintes hipóteses:</w:t>
                </w:r>
              </w:p>
              <w:p w:rsidR="00000000" w:rsidDel="00000000" w:rsidP="00000000" w:rsidRDefault="00000000" w:rsidRPr="00000000" w14:paraId="000000A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for identificado o descumprimento injustificado do alcance das metas; ou</w:t>
                </w:r>
              </w:p>
              <w:p w:rsidR="00000000" w:rsidDel="00000000" w:rsidP="00000000" w:rsidRDefault="00000000" w:rsidRPr="00000000" w14:paraId="000000A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aceita denúncia de irregularidade, mediante juízo de admissibilidade realizado pelo Ente Público.</w:t>
                </w:r>
              </w:p>
            </w:tc>
          </w:tr>
        </w:tbl>
      </w:sdtContent>
    </w:sdt>
    <w:p w:rsidR="00000000" w:rsidDel="00000000" w:rsidP="00000000" w:rsidRDefault="00000000" w:rsidRPr="00000000" w14:paraId="000000A7">
      <w:pPr>
        <w:spacing w:after="160" w:line="259" w:lineRule="auto"/>
        <w:ind w:hanging="2"/>
        <w:rPr>
          <w:rFonts w:ascii="Calibri" w:cs="Calibri" w:eastAsia="Calibri" w:hAnsi="Calibri"/>
        </w:rPr>
      </w:pPr>
      <w:r w:rsidDel="00000000" w:rsidR="00000000" w:rsidRPr="00000000">
        <w:rPr>
          <w:rtl w:val="0"/>
        </w:rPr>
      </w:r>
    </w:p>
    <w:sdt>
      <w:sdtPr>
        <w:lock w:val="contentLocked"/>
        <w:tag w:val="goog_rdk_7"/>
      </w:sdtPr>
      <w:sdtContent>
        <w:tbl>
          <w:tblPr>
            <w:tblStyle w:val="Table8"/>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85"/>
            <w:tblGridChange w:id="0">
              <w:tblGrid>
                <w:gridCol w:w="958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A8">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DOS BENS REMANESCENTES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A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000000" w:rsidDel="00000000" w:rsidP="00000000" w:rsidRDefault="00000000" w:rsidRPr="00000000" w14:paraId="000000A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Quando da extinção da parceria, os bens remanescentes permanecerão na propriedade da Entidade Cultural, na medida em que os bens sejam úteis à continuidade da execução de ações de interesse social pela organização.</w:t>
                </w:r>
              </w:p>
              <w:p w:rsidR="00000000" w:rsidDel="00000000" w:rsidP="00000000" w:rsidRDefault="00000000" w:rsidRPr="00000000" w14:paraId="000000A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Caso a prestação de contas final seja rejeitada, a titularidade dos bens remanescentes permanecerá com a Entidade Cultural, observados os seguintes procedimentos:</w:t>
                </w:r>
              </w:p>
              <w:p w:rsidR="00000000" w:rsidDel="00000000" w:rsidP="00000000" w:rsidRDefault="00000000" w:rsidRPr="00000000" w14:paraId="000000A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não será exigido ressarcimento do valor relativo ao bem adquirido quando a motivação da rejeição não estiver relacionada ao seu uso ou aquisição; ou</w:t>
                </w:r>
              </w:p>
              <w:p w:rsidR="00000000" w:rsidDel="00000000" w:rsidP="00000000" w:rsidRDefault="00000000" w:rsidRPr="00000000" w14:paraId="000000A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o valor pelo qual o bem remanescente foi adquirido deverá ser computado no cálculo do dano ao erário a ser ressarcido, quando a motivação da rejeição estiver relacionada ao seu uso ou aquisição. </w:t>
                </w:r>
              </w:p>
              <w:p w:rsidR="00000000" w:rsidDel="00000000" w:rsidP="00000000" w:rsidRDefault="00000000" w:rsidRPr="00000000" w14:paraId="000000A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Na hipótese de dissolução da Entidade Cultural durante a vigência do TCC, o valor pelo qual os bens remanescentes foram adquiridos deverá ser computado no cálculo do valor a ser ressarcido.</w:t>
                </w:r>
              </w:p>
              <w:p w:rsidR="00000000" w:rsidDel="00000000" w:rsidP="00000000" w:rsidRDefault="00000000" w:rsidRPr="00000000" w14:paraId="000000A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Entidade Cultural poderá realizar doação dos bens remanescentes a terceiros, inclusive beneficiários da política pública objeto da parceria, desde que demonstrada sua utilidade para realização ou continuidade de ações de interesse social.</w:t>
                </w:r>
              </w:p>
              <w:p w:rsidR="00000000" w:rsidDel="00000000" w:rsidP="00000000" w:rsidRDefault="00000000" w:rsidRPr="00000000" w14:paraId="000000B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000000" w:rsidDel="00000000" w:rsidP="00000000" w:rsidRDefault="00000000" w:rsidRPr="00000000" w14:paraId="000000B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 A destinação dos bens remanescentes poderá ser alterada por meio da celebração de Termo Aditivo ao TCC, após solicitação fundamentada de uma das partes.</w:t>
                </w:r>
              </w:p>
              <w:p w:rsidR="00000000" w:rsidDel="00000000" w:rsidP="00000000" w:rsidRDefault="00000000" w:rsidRPr="00000000" w14:paraId="000000B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sdtContent>
    </w:sdt>
    <w:p w:rsidR="00000000" w:rsidDel="00000000" w:rsidP="00000000" w:rsidRDefault="00000000" w:rsidRPr="00000000" w14:paraId="000000B3">
      <w:pPr>
        <w:spacing w:after="160" w:line="259" w:lineRule="auto"/>
        <w:ind w:hanging="2"/>
        <w:rPr>
          <w:rFonts w:ascii="Calibri" w:cs="Calibri" w:eastAsia="Calibri" w:hAnsi="Calibri"/>
        </w:rPr>
      </w:pPr>
      <w:r w:rsidDel="00000000" w:rsidR="00000000" w:rsidRPr="00000000">
        <w:rPr>
          <w:rtl w:val="0"/>
        </w:rPr>
      </w:r>
    </w:p>
    <w:sdt>
      <w:sdtPr>
        <w:lock w:val="contentLocked"/>
        <w:tag w:val="goog_rdk_8"/>
      </w:sdtPr>
      <w:sdtContent>
        <w:tbl>
          <w:tblPr>
            <w:tblStyle w:val="Table9"/>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15"/>
            <w:tblGridChange w:id="0">
              <w:tblGrid>
                <w:gridCol w:w="961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B4">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DA PROPRIEDADE INTELECTUAL</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B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000000" w:rsidDel="00000000" w:rsidP="00000000" w:rsidRDefault="00000000" w:rsidRPr="00000000" w14:paraId="000000B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000000" w:rsidDel="00000000" w:rsidP="00000000" w:rsidRDefault="00000000" w:rsidRPr="00000000" w14:paraId="000000B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9.2.1 - Quanto aos direitos de que trata a Lei Nacional nº 9.279/1996, pelo uso de produto objeto de patente, processo ou produto obtido diretamente por processo patenteado, desenho industrial, indicação geográfica e marcas;</w:t>
                </w:r>
              </w:p>
              <w:p w:rsidR="00000000" w:rsidDel="00000000" w:rsidP="00000000" w:rsidRDefault="00000000" w:rsidRPr="00000000" w14:paraId="000000B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9.2.2 - Quanto aos direitos de que trata a Lei Nacional nº 9.610/1998, pelas seguintes modalidades:</w:t>
                </w:r>
              </w:p>
              <w:p w:rsidR="00000000" w:rsidDel="00000000" w:rsidP="00000000" w:rsidRDefault="00000000" w:rsidRPr="00000000" w14:paraId="000000B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 reprodução parcial ou integral, para fins de divulgação;</w:t>
                </w:r>
              </w:p>
              <w:p w:rsidR="00000000" w:rsidDel="00000000" w:rsidP="00000000" w:rsidRDefault="00000000" w:rsidRPr="00000000" w14:paraId="000000B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 tradução para qualquer idioma;</w:t>
                </w:r>
              </w:p>
              <w:p w:rsidR="00000000" w:rsidDel="00000000" w:rsidP="00000000" w:rsidRDefault="00000000" w:rsidRPr="00000000" w14:paraId="000000B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 inclusão em fonograma ou produção audiovisual;</w:t>
                </w:r>
              </w:p>
              <w:p w:rsidR="00000000" w:rsidDel="00000000" w:rsidP="00000000" w:rsidRDefault="00000000" w:rsidRPr="00000000" w14:paraId="000000B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inclusão em base de dados, o armazenamento em computador, a microfilmagem e as demais formas de arquivamento do gênero.</w:t>
                </w:r>
              </w:p>
              <w:p w:rsidR="00000000" w:rsidDel="00000000" w:rsidP="00000000" w:rsidRDefault="00000000" w:rsidRPr="00000000" w14:paraId="000000B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sdtContent>
    </w:sdt>
    <w:p w:rsidR="00000000" w:rsidDel="00000000" w:rsidP="00000000" w:rsidRDefault="00000000" w:rsidRPr="00000000" w14:paraId="000000BE">
      <w:pPr>
        <w:spacing w:after="160" w:line="259" w:lineRule="auto"/>
        <w:ind w:hanging="2"/>
        <w:rPr>
          <w:rFonts w:ascii="Calibri" w:cs="Calibri" w:eastAsia="Calibri" w:hAnsi="Calibri"/>
        </w:rPr>
      </w:pPr>
      <w:r w:rsidDel="00000000" w:rsidR="00000000" w:rsidRPr="00000000">
        <w:rPr>
          <w:rtl w:val="0"/>
        </w:rPr>
      </w:r>
    </w:p>
    <w:sdt>
      <w:sdtPr>
        <w:lock w:val="contentLocked"/>
        <w:tag w:val="goog_rdk_9"/>
      </w:sdtPr>
      <w:sdtContent>
        <w:tbl>
          <w:tblPr>
            <w:tblStyle w:val="Table10"/>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15"/>
            <w:tblGridChange w:id="0">
              <w:tblGrid>
                <w:gridCol w:w="961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BF">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DO PRAZO DE VIGÊNCIA</w:t>
                </w:r>
              </w:p>
            </w:tc>
          </w:tr>
          <w:tr>
            <w:trPr>
              <w:cantSplit w:val="0"/>
              <w:trHeight w:val="9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prazo de vigência deste TCC será de 12 (doze) meses, contados a partir da data de sua assinatura, podendo ser prorrogado pelo dobro do tempo pactuado, mediante acordo entre as partes, excetuadas as prorrogações de ofício por atraso na liberação dos recursos.</w:t>
                </w:r>
              </w:p>
              <w:p w:rsidR="00000000" w:rsidDel="00000000" w:rsidP="00000000" w:rsidRDefault="00000000" w:rsidRPr="00000000" w14:paraId="000000C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vigência do TCC poderá ser alterada mediante solicitação da entidade cultural, a ser apresentada à administração pública em, no mínimo, trinta dias antes do término de sua vigência.</w:t>
                </w:r>
              </w:p>
              <w:p w:rsidR="00000000" w:rsidDel="00000000" w:rsidP="00000000" w:rsidRDefault="00000000" w:rsidRPr="00000000" w14:paraId="000000C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A prorrogação de ofício da vigência do instrumento deve ser feita pela administração pública, antes do seu término, quando ela der causa a atraso na liberação dos recursos, limitada ao exato período do atraso verificado.</w:t>
                </w:r>
              </w:p>
            </w:tc>
          </w:tr>
        </w:tbl>
      </w:sdtContent>
    </w:sdt>
    <w:p w:rsidR="00000000" w:rsidDel="00000000" w:rsidP="00000000" w:rsidRDefault="00000000" w:rsidRPr="00000000" w14:paraId="000000C3">
      <w:pPr>
        <w:spacing w:after="160" w:line="259" w:lineRule="auto"/>
        <w:ind w:hanging="2"/>
        <w:rPr>
          <w:rFonts w:ascii="Calibri" w:cs="Calibri" w:eastAsia="Calibri" w:hAnsi="Calibri"/>
        </w:rPr>
      </w:pPr>
      <w:r w:rsidDel="00000000" w:rsidR="00000000" w:rsidRPr="00000000">
        <w:rPr>
          <w:rtl w:val="0"/>
        </w:rPr>
      </w:r>
    </w:p>
    <w:sdt>
      <w:sdtPr>
        <w:lock w:val="contentLocked"/>
        <w:tag w:val="goog_rdk_10"/>
      </w:sdtPr>
      <w:sdtContent>
        <w:tbl>
          <w:tblPr>
            <w:tblStyle w:val="Table11"/>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15"/>
            <w:tblGridChange w:id="0">
              <w:tblGrid>
                <w:gridCol w:w="961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4">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DA RESCISÃO</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000000" w:rsidDel="00000000" w:rsidP="00000000" w:rsidRDefault="00000000" w:rsidRPr="00000000" w14:paraId="000000C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O Ente Público deverá rescindir este TCC caso seja cancelada a certificação simplificada do Pontão ou Pontão de Cultura, respeitados os atos jurídicos perfeitos, na forma do art. 11 da Instrução Normativa/MinC nº 8/2016.</w:t>
                </w:r>
              </w:p>
              <w:p w:rsidR="00000000" w:rsidDel="00000000" w:rsidP="00000000" w:rsidRDefault="00000000" w:rsidRPr="00000000" w14:paraId="000000C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rsidR="00000000" w:rsidDel="00000000" w:rsidP="00000000" w:rsidRDefault="00000000" w:rsidRPr="00000000" w14:paraId="000000C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 Havendo rescisão, a entidade cultural fica obrigada a prestar contas de tudo que fora executado até a data da rescisão, observado o prazo e regras da Seção 7.</w:t>
                </w:r>
              </w:p>
            </w:tc>
          </w:tr>
        </w:tbl>
      </w:sdtContent>
    </w:sdt>
    <w:p w:rsidR="00000000" w:rsidDel="00000000" w:rsidP="00000000" w:rsidRDefault="00000000" w:rsidRPr="00000000" w14:paraId="000000C9">
      <w:pPr>
        <w:spacing w:after="160" w:line="259" w:lineRule="auto"/>
        <w:ind w:hanging="2"/>
        <w:rPr>
          <w:rFonts w:ascii="Calibri" w:cs="Calibri" w:eastAsia="Calibri" w:hAnsi="Calibri"/>
        </w:rPr>
      </w:pPr>
      <w:r w:rsidDel="00000000" w:rsidR="00000000" w:rsidRPr="00000000">
        <w:rPr>
          <w:rtl w:val="0"/>
        </w:rPr>
      </w:r>
    </w:p>
    <w:sdt>
      <w:sdtPr>
        <w:lock w:val="contentLocked"/>
        <w:tag w:val="goog_rdk_11"/>
      </w:sdtPr>
      <w:sdtContent>
        <w:tbl>
          <w:tblPr>
            <w:tblStyle w:val="Table12"/>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15"/>
            <w:tblGridChange w:id="0">
              <w:tblGrid>
                <w:gridCol w:w="961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A">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DA PUBLICAÇÃO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Ente Público publicará extrato deste TCC no meio oficial de publicidade da administração pública, após a assinatura, para que se inicie a produção de seus efeitos.</w:t>
                </w:r>
              </w:p>
            </w:tc>
          </w:tr>
        </w:tbl>
      </w:sdtContent>
    </w:sdt>
    <w:p w:rsidR="00000000" w:rsidDel="00000000" w:rsidP="00000000" w:rsidRDefault="00000000" w:rsidRPr="00000000" w14:paraId="000000CC">
      <w:pPr>
        <w:spacing w:after="160" w:line="259" w:lineRule="auto"/>
        <w:ind w:hanging="2"/>
        <w:rPr>
          <w:rFonts w:ascii="Calibri" w:cs="Calibri" w:eastAsia="Calibri" w:hAnsi="Calibri"/>
        </w:rPr>
      </w:pPr>
      <w:r w:rsidDel="00000000" w:rsidR="00000000" w:rsidRPr="00000000">
        <w:rPr>
          <w:rtl w:val="0"/>
        </w:rPr>
      </w:r>
    </w:p>
    <w:sdt>
      <w:sdtPr>
        <w:lock w:val="contentLocked"/>
        <w:tag w:val="goog_rdk_12"/>
      </w:sdtPr>
      <w:sdtContent>
        <w:tbl>
          <w:tblPr>
            <w:tblStyle w:val="Table13"/>
            <w:tblW w:w="9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55"/>
            <w:tblGridChange w:id="0">
              <w:tblGrid>
                <w:gridCol w:w="9555"/>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D">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DO FORO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partes comprometem-se a submeter eventuais controvérsias decorrentes do presente ajuste à prévia tentativa de solução administrativa. As controvérsias que não possam ser resolvidas administrativamente serão submetidas ao foro da Justiça de Biguaçu/SC.</w:t>
                </w:r>
              </w:p>
            </w:tc>
          </w:tr>
        </w:tbl>
      </w:sdtContent>
    </w:sdt>
    <w:p w:rsidR="00000000" w:rsidDel="00000000" w:rsidP="00000000" w:rsidRDefault="00000000" w:rsidRPr="00000000" w14:paraId="000000CF">
      <w:pPr>
        <w:spacing w:after="160" w:line="259" w:lineRule="auto"/>
        <w:ind w:hanging="2"/>
        <w:rPr>
          <w:rFonts w:ascii="Calibri" w:cs="Calibri" w:eastAsia="Calibri" w:hAnsi="Calibri"/>
        </w:rPr>
      </w:pPr>
      <w:r w:rsidDel="00000000" w:rsidR="00000000" w:rsidRPr="00000000">
        <w:rPr>
          <w:rtl w:val="0"/>
        </w:rPr>
      </w:r>
    </w:p>
    <w:sdt>
      <w:sdtPr>
        <w:lock w:val="contentLocked"/>
        <w:tag w:val="goog_rdk_13"/>
      </w:sdtPr>
      <w:sdtContent>
        <w:tbl>
          <w:tblPr>
            <w:tblStyle w:val="Table14"/>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4755"/>
            <w:tblGridChange w:id="0">
              <w:tblGrid>
                <w:gridCol w:w="4815"/>
                <w:gridCol w:w="4755"/>
              </w:tblGrid>
            </w:tblGridChange>
          </w:tblGrid>
          <w:tr>
            <w:trPr>
              <w:cantSplit w:val="0"/>
              <w:trHeight w:val="525" w:hRule="atLeast"/>
              <w:tblHeader w:val="0"/>
            </w:trPr>
            <w:tc>
              <w:tcPr>
                <w:gridSpan w:val="2"/>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D0">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DATA E ASSINATURAS</w:t>
                </w:r>
              </w:p>
            </w:tc>
          </w:tr>
          <w:tr>
            <w:trPr>
              <w:cantSplit w:val="0"/>
              <w:trHeight w:val="85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D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assim estarem plenamente de acordo, as partes obrigam-se ao total cumprimento dos termos do presente instrumento.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D4">
                <w:pPr>
                  <w:spacing w:after="120" w:before="1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assinado eletronicamente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5">
                <w:pPr>
                  <w:spacing w:after="120" w:before="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w:t>
                </w:r>
              </w:p>
              <w:p w:rsidR="00000000" w:rsidDel="00000000" w:rsidP="00000000" w:rsidRDefault="00000000" w:rsidRPr="00000000" w14:paraId="000000D6">
                <w:pPr>
                  <w:spacing w:after="120" w:before="1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w:t>
                </w:r>
              </w:p>
              <w:p w:rsidR="00000000" w:rsidDel="00000000" w:rsidP="00000000" w:rsidRDefault="00000000" w:rsidRPr="00000000" w14:paraId="000000D7">
                <w:pPr>
                  <w:spacing w:after="120" w:before="1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legal da entidade cultural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8">
                <w:pPr>
                  <w:spacing w:after="120" w:before="1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assinado eletronicamente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9">
                <w:pPr>
                  <w:spacing w:after="120" w:before="1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legal do órgão ou entidade pública</w:t>
                </w:r>
              </w:p>
            </w:tc>
          </w:tr>
        </w:tbl>
      </w:sdtContent>
    </w:sdt>
    <w:p w:rsidR="00000000" w:rsidDel="00000000" w:rsidP="00000000" w:rsidRDefault="00000000" w:rsidRPr="00000000" w14:paraId="000000DA">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line="240" w:lineRule="auto"/>
        <w:ind w:hanging="2"/>
        <w:jc w:val="center"/>
        <w:rPr>
          <w:rFonts w:ascii="Calibri" w:cs="Calibri" w:eastAsia="Calibri" w:hAnsi="Calibri"/>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wp:posOffset>
          </wp:positionH>
          <wp:positionV relativeFrom="paragraph">
            <wp:posOffset>-195260</wp:posOffset>
          </wp:positionV>
          <wp:extent cx="1453945" cy="533400"/>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5394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1516380</wp:posOffset>
          </wp:positionH>
          <wp:positionV relativeFrom="paragraph">
            <wp:posOffset>-186049</wp:posOffset>
          </wp:positionV>
          <wp:extent cx="4154170" cy="519430"/>
          <wp:effectExtent b="0" l="0" r="0" t="0"/>
          <wp:wrapNone/>
          <wp:docPr id="11"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154170" cy="519430"/>
                  </a:xfrm>
                  <a:prstGeom prst="rect"/>
                  <a:ln/>
                </pic:spPr>
              </pic:pic>
            </a:graphicData>
          </a:graphic>
        </wp:anchor>
      </w:drawing>
    </w:r>
  </w:p>
  <w:p w:rsidR="00000000" w:rsidDel="00000000" w:rsidP="00000000" w:rsidRDefault="00000000" w:rsidRPr="00000000" w14:paraId="000000D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8">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9">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0">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2">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3">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4">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5">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6">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7">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8">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9">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0">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1">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2">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3">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4">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5">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6">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7">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8">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9">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40">
    <w:basedOn w:val="TableNormal"/>
    <w:pPr>
      <w:widowControl w:val="0"/>
      <w:ind w:left="0" w:hanging="1"/>
    </w:pPr>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7">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8">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9">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0">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1">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2">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3">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4">
    <w:basedOn w:val="TableNormal"/>
    <w:pPr>
      <w:widowControl w:val="0"/>
      <w:spacing w:after="0" w:line="240" w:lineRule="auto"/>
      <w:ind w:left="0" w:hanging="1"/>
    </w:pPr>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1tSv6stYvqiGRPpFm9dmk6m+w==">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